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BD29" w14:textId="77777777" w:rsidR="00C64497" w:rsidRPr="00C64497" w:rsidRDefault="00C64497" w:rsidP="00C64497">
      <w:pPr>
        <w:shd w:val="clear" w:color="auto" w:fill="CEE3F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03860"/>
          <w:sz w:val="21"/>
          <w:szCs w:val="21"/>
          <w:lang w:eastAsia="ru-RU"/>
        </w:rPr>
      </w:pPr>
      <w:r w:rsidRPr="00C64497">
        <w:rPr>
          <w:rFonts w:ascii="Arial" w:eastAsia="Times New Roman" w:hAnsi="Arial" w:cs="Arial"/>
          <w:b/>
          <w:bCs/>
          <w:color w:val="203860"/>
          <w:sz w:val="21"/>
          <w:szCs w:val="21"/>
          <w:lang w:eastAsia="ru-RU"/>
        </w:rPr>
        <w:fldChar w:fldCharType="begin"/>
      </w:r>
      <w:r w:rsidRPr="00C64497">
        <w:rPr>
          <w:rFonts w:ascii="Arial" w:eastAsia="Times New Roman" w:hAnsi="Arial" w:cs="Arial"/>
          <w:b/>
          <w:bCs/>
          <w:color w:val="203860"/>
          <w:sz w:val="21"/>
          <w:szCs w:val="21"/>
          <w:lang w:eastAsia="ru-RU"/>
        </w:rPr>
        <w:instrText xml:space="preserve"> HYPERLINK "http://xn----ftbfadiqgfqgeib4adn9e.xn--p1ai/index.php/socusl/priemnaya-semya/332-perechen-dokumentov-dlya-oformleniya" </w:instrText>
      </w:r>
      <w:r w:rsidRPr="00C64497">
        <w:rPr>
          <w:rFonts w:ascii="Arial" w:eastAsia="Times New Roman" w:hAnsi="Arial" w:cs="Arial"/>
          <w:b/>
          <w:bCs/>
          <w:color w:val="203860"/>
          <w:sz w:val="21"/>
          <w:szCs w:val="21"/>
          <w:lang w:eastAsia="ru-RU"/>
        </w:rPr>
        <w:fldChar w:fldCharType="separate"/>
      </w:r>
      <w:r w:rsidRPr="00C64497">
        <w:rPr>
          <w:rFonts w:ascii="Century Gothic" w:eastAsia="Times New Roman" w:hAnsi="Century Gothic" w:cs="Arial"/>
          <w:b/>
          <w:bCs/>
          <w:color w:val="E2341D"/>
          <w:sz w:val="21"/>
          <w:szCs w:val="21"/>
          <w:u w:val="single"/>
          <w:lang w:eastAsia="ru-RU"/>
        </w:rPr>
        <w:t>Перечень документов для оформления</w:t>
      </w:r>
      <w:r w:rsidRPr="00C64497">
        <w:rPr>
          <w:rFonts w:ascii="Arial" w:eastAsia="Times New Roman" w:hAnsi="Arial" w:cs="Arial"/>
          <w:b/>
          <w:bCs/>
          <w:color w:val="203860"/>
          <w:sz w:val="21"/>
          <w:szCs w:val="21"/>
          <w:lang w:eastAsia="ru-RU"/>
        </w:rPr>
        <w:fldChar w:fldCharType="end"/>
      </w:r>
    </w:p>
    <w:p w14:paraId="248D4D96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Лицо, изъявившее желание организовать</w:t>
      </w:r>
    </w:p>
    <w:p w14:paraId="5BE64803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приемную семью</w:t>
      </w:r>
    </w:p>
    <w:p w14:paraId="2C6570BC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 </w:t>
      </w:r>
    </w:p>
    <w:p w14:paraId="4AA2A760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Паспорт;</w:t>
      </w:r>
    </w:p>
    <w:p w14:paraId="5CFBE7DD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 составе семьи;</w:t>
      </w:r>
    </w:p>
    <w:p w14:paraId="46FAE8E5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14:paraId="22C56A57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14:paraId="0A8D5A95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Медицинская справка из лечебно-профилактического учреждения по месту проживания о состоянии здоровья лица, изъявившего желание образовать приемную семью, и всех членов его семьи, совместно с ним проживающих;</w:t>
      </w:r>
    </w:p>
    <w:p w14:paraId="6BD8CAD6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 доходе членов семьи за последние 12 месяцев, предшествующих дате подачи письменного заявления;</w:t>
      </w:r>
    </w:p>
    <w:p w14:paraId="76EA633C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В случае выбора места проживания приемной семьи у лица, изъявившего желание образовать приемную семью,-письменное согласие всех совершеннолетних совместно проживающих членов семьи и наймодателя (если жилое помещение предоставлено по договору социального найма);</w:t>
      </w:r>
    </w:p>
    <w:p w14:paraId="18EDD96E" w14:textId="77777777" w:rsidR="00C64497" w:rsidRPr="00C64497" w:rsidRDefault="00C64497" w:rsidP="00C64497">
      <w:pPr>
        <w:numPr>
          <w:ilvl w:val="0"/>
          <w:numId w:val="1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об отсутствии у лица, изъявившего желание образовать приемную семью, и членов его семьи судимости за умышленное преступление против жизни и здоровья, выданная органами внутренних дел.</w:t>
      </w:r>
    </w:p>
    <w:p w14:paraId="77BB0256" w14:textId="77777777" w:rsidR="00C64497" w:rsidRPr="00C64497" w:rsidRDefault="00C64497" w:rsidP="00C64497">
      <w:pPr>
        <w:shd w:val="clear" w:color="auto" w:fill="CEE3F6"/>
        <w:spacing w:before="180" w:after="180" w:line="240" w:lineRule="auto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  <w:t> </w:t>
      </w:r>
    </w:p>
    <w:p w14:paraId="5C5591FB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Лицо, нуждающееся в постороннем</w:t>
      </w:r>
    </w:p>
    <w:p w14:paraId="59CE2405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уходе и помощи</w:t>
      </w:r>
    </w:p>
    <w:p w14:paraId="5448CBDA" w14:textId="77777777" w:rsidR="00C64497" w:rsidRPr="00C64497" w:rsidRDefault="00C64497" w:rsidP="00C64497">
      <w:pPr>
        <w:shd w:val="clear" w:color="auto" w:fill="CEE3F6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2C2C25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b/>
          <w:bCs/>
          <w:color w:val="2C2C25"/>
          <w:sz w:val="20"/>
          <w:szCs w:val="20"/>
          <w:lang w:eastAsia="ru-RU"/>
        </w:rPr>
        <w:t> </w:t>
      </w:r>
    </w:p>
    <w:p w14:paraId="07C14397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Паспорт;</w:t>
      </w:r>
    </w:p>
    <w:p w14:paraId="1C4A9FB8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 составе семьи;</w:t>
      </w:r>
    </w:p>
    <w:p w14:paraId="75DE2198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14:paraId="65BBB68F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Копии документов, подтверждающих правовые основания и использования жилого помещения, в котором оно зарегистрировано по месту постоянного проживания;</w:t>
      </w:r>
    </w:p>
    <w:p w14:paraId="6D576CFB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 xml:space="preserve">Заключение врачебной комиссии лечебно-профилактического учреждения по месту проживания о состоянии здоровья (кроме инвалидов </w:t>
      </w:r>
      <w:proofErr w:type="spellStart"/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Iгруппы</w:t>
      </w:r>
      <w:proofErr w:type="spellEnd"/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 xml:space="preserve"> или признанных до 1 января 2010 года имеющими ограничение способности к трудовой деятельности </w:t>
      </w:r>
      <w:proofErr w:type="spellStart"/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IIIстепени</w:t>
      </w:r>
      <w:proofErr w:type="spellEnd"/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 xml:space="preserve"> до очередного переосвидетельствования);</w:t>
      </w:r>
    </w:p>
    <w:p w14:paraId="4DFCBBA4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Для лица, признанных в установленном порядке инвалидами I группы или признанных до 1 января 2010 года имеющими ограничение способности к трудовой деятельности III степени, - справка учреждения медико-социальной экспертизы;</w:t>
      </w:r>
    </w:p>
    <w:p w14:paraId="73B75020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В случае выбора места проживания приемной семьи у лица, находящегося в трудной жизненной ситуации, - письменное согласие наймодателя (если жилое помещение предоставлено по договору социального найма);</w:t>
      </w:r>
    </w:p>
    <w:p w14:paraId="5A89DBC0" w14:textId="77777777" w:rsidR="00C64497" w:rsidRPr="00C64497" w:rsidRDefault="00C64497" w:rsidP="00C64497">
      <w:pPr>
        <w:numPr>
          <w:ilvl w:val="0"/>
          <w:numId w:val="2"/>
        </w:numPr>
        <w:shd w:val="clear" w:color="auto" w:fill="CEE3F6"/>
        <w:spacing w:after="30" w:line="293" w:lineRule="atLeast"/>
        <w:ind w:left="885"/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</w:pPr>
      <w:r w:rsidRPr="00C64497">
        <w:rPr>
          <w:rFonts w:ascii="Century Gothic" w:eastAsia="Times New Roman" w:hAnsi="Century Gothic" w:cs="Times New Roman"/>
          <w:color w:val="45453A"/>
          <w:sz w:val="20"/>
          <w:szCs w:val="20"/>
          <w:lang w:eastAsia="ru-RU"/>
        </w:rPr>
        <w:t>Справка, выданная органом, осуществляющим пенсионное обеспечение, о виде и размере получаемой пенсии.</w:t>
      </w:r>
    </w:p>
    <w:sectPr w:rsidR="00C64497" w:rsidRPr="00C64497" w:rsidSect="00C644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4BA9"/>
    <w:multiLevelType w:val="multilevel"/>
    <w:tmpl w:val="ACE6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D6A14"/>
    <w:multiLevelType w:val="multilevel"/>
    <w:tmpl w:val="8A46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97"/>
    <w:rsid w:val="00996CF9"/>
    <w:rsid w:val="00C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9DD"/>
  <w15:chartTrackingRefBased/>
  <w15:docId w15:val="{111EC519-A7DF-4997-9A01-B6575DA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1</cp:revision>
  <dcterms:created xsi:type="dcterms:W3CDTF">2020-11-13T08:06:00Z</dcterms:created>
  <dcterms:modified xsi:type="dcterms:W3CDTF">2020-11-13T08:07:00Z</dcterms:modified>
</cp:coreProperties>
</file>